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1495-G</w:t>
        <w:t xml:space="preserve">.  </w:t>
      </w:r>
      <w:r>
        <w:rPr>
          <w:b/>
        </w:rPr>
        <w:t xml:space="preserve">Contracts and cooperation with other agencies</w:t>
      </w:r>
    </w:p>
    <w:p>
      <w:pPr>
        <w:jc w:val="both"/>
        <w:spacing w:before="100" w:after="0"/>
        <w:ind w:start="360"/>
        <w:ind w:firstLine="360"/>
      </w:pPr>
      <w:r>
        <w:rPr>
          <w:b/>
        </w:rPr>
        <w:t>1</w:t>
        <w:t xml:space="preserve">.  </w:t>
      </w:r>
      <w:r>
        <w:rPr>
          <w:b/>
        </w:rPr>
        <w:t xml:space="preserve">Other agencies' staff.</w:t>
        <w:t xml:space="preserve"> </w:t>
      </w:r>
      <w:r>
        <w:t xml:space="preserve"> </w:t>
      </w:r>
      <w:r>
        <w:t xml:space="preserve">The administrator may employ and engage experts, professionals or other personnel of other state or federal regulatory agencies as may be necessary to assist the administrator in carrying out the regulatory functions of this chapter. The administrator may contract agency staff to other state and federal agencies to assist those other state and federal agencies in carrying out their regulatory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The administrator may enter into cooperative agreements with other state, federal or foreign agencies to facilitate the regulatory functions of the administrator, including, but not limited to, the sharing between agencies of information that is otherwise confidential, coordination of examinations and joint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furnished pursuant to this section by or to the administrator that has been designated as confidential by the agency furnishing the information remains the property of the agency furnishing the information and must be kept confidential by the recipient of the information except as authorized by the furnishing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Provision of information by state agencies.</w:t>
        <w:t xml:space="preserve"> </w:t>
      </w:r>
      <w:r>
        <w:t xml:space="preserve"> </w:t>
      </w:r>
      <w:r>
        <w:t xml:space="preserve">Notwithstanding any other provision of law, a state agency, including but not limited to the State Tax Assessor and the Department of Labor, shall provide such information to the administrator as is necessary for the administrator's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§1495-G. Contracts and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§1495-G. CONTRACTS AND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