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1499-G</w:t>
        <w:t xml:space="preserve">.  </w:t>
      </w:r>
      <w:r>
        <w:rPr>
          <w:b/>
        </w:rPr>
        <w:t xml:space="preserve">Disclaimer on promotional materials using Medicare, Medicaid or MaineCare</w:t>
      </w:r>
    </w:p>
    <w:p>
      <w:pPr>
        <w:jc w:val="both"/>
        <w:spacing w:before="100" w:after="100"/>
        <w:ind w:start="360"/>
        <w:ind w:firstLine="360"/>
      </w:pPr>
      <w:r>
        <w:rPr>
          <w:b/>
        </w:rPr>
        <w:t>1</w:t>
        <w:t xml:space="preserve">.  </w:t>
      </w:r>
      <w:r>
        <w:rPr>
          <w:b/>
        </w:rPr>
        <w:t xml:space="preserve">Disclaimer.</w:t>
        <w:t xml:space="preserve"> </w:t>
      </w:r>
      <w:r>
        <w:t xml:space="preserve"> </w:t>
      </w:r>
      <w:r>
        <w:t xml:space="preserve">A person may not use any advertisement, solicitation, informational brochure, mailer or other promotional material using the terms "Medicare," "Medicaid" or "MaineCare" unless the material:</w:t>
      </w:r>
    </w:p>
    <w:p>
      <w:pPr>
        <w:jc w:val="both"/>
        <w:spacing w:before="100" w:after="0"/>
        <w:ind w:start="720"/>
      </w:pPr>
      <w:r>
        <w:rPr/>
        <w:t>A</w:t>
        <w:t xml:space="preserve">.  </w:t>
      </w:r>
      <w:r>
        <w:rPr/>
      </w:r>
      <w:r>
        <w:t xml:space="preserve">Includes a disclaimer printed on the top and both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2</w:t>
        <w:t xml:space="preserve">.  </w:t>
      </w:r>
      <w:r>
        <w:rPr>
          <w:b/>
        </w:rPr>
        <w:t xml:space="preserve">Application.</w:t>
        <w:t xml:space="preserve"> </w:t>
      </w:r>
      <w:r>
        <w:t xml:space="preserve"> </w:t>
      </w:r>
      <w:r>
        <w:t xml:space="preserve">The requirements of </w:t>
      </w:r>
      <w:r>
        <w:t>subsection 1</w:t>
      </w:r>
      <w:r>
        <w:t xml:space="preserve"> do not apply to any informational brochure or other material distributed by a person that does not sell or profit from the sale of any insurance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3</w:t>
        <w:t xml:space="preserve">.  </w:t>
      </w:r>
      <w:r>
        <w:rPr>
          <w:b/>
        </w:rPr>
        <w:t xml:space="preserve">Rules.</w:t>
        <w:t xml:space="preserve"> </w:t>
      </w:r>
      <w:r>
        <w:t xml:space="preserve"> </w:t>
      </w:r>
      <w:r>
        <w:t xml:space="preserve">The Attorney General may adopt rules to implement this chapter.  Rules adopted pursuant to this subsection are routine technical rules as defined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4</w:t>
        <w:t xml:space="preserve">.  </w:t>
      </w:r>
      <w:r>
        <w:rPr>
          <w:b/>
        </w:rPr>
        <w:t xml:space="preserve">Violation.</w:t>
        <w:t xml:space="preserve"> </w:t>
      </w:r>
      <w:r>
        <w:t xml:space="preserve"> </w:t>
      </w:r>
      <w:r>
        <w:t xml:space="preserve">A person that fails to comply with </w:t>
      </w:r>
      <w:r>
        <w:t>subsection 1</w:t>
      </w:r>
      <w:r>
        <w:t xml:space="preserve"> commits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§1499-G. Disclaimer on promotional materials using Medicare, Medicaid or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§1499-G. Disclaimer on promotional materials using Medicare, Medicaid or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§1499-G. DISCLAIMER ON PROMOTIONAL MATERIALS USING MEDICARE, MEDICAID OR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