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w:t>
        <w:t xml:space="preserve">.  </w:t>
      </w:r>
      <w:r>
        <w:rPr>
          <w:b/>
        </w:rPr>
        <w:t xml:space="preserve">Assignment</w:t>
      </w:r>
    </w:p>
    <w:p>
      <w:pPr>
        <w:jc w:val="both"/>
        <w:spacing w:before="100" w:after="0"/>
        <w:ind w:start="360"/>
        <w:ind w:firstLine="360"/>
      </w:pPr>
      <w:r>
        <w:rPr>
          <w:b/>
        </w:rPr>
        <w:t>1</w:t>
        <w:t xml:space="preserve">.  </w:t>
      </w:r>
      <w:r>
        <w:rPr>
          <w:b/>
        </w:rPr>
        <w:t xml:space="preserve">Recording.</w:t>
        <w:t xml:space="preserve"> </w:t>
      </w:r>
      <w:r>
        <w:t xml:space="preserve"> </w:t>
      </w:r>
      <w:r>
        <w:t xml:space="preserve">Any mark and its registration are assignable with the good will of the business in which the mark is used or with that part of the good will of the business connected with the use of and symbolized by the mark. Assignment must be by an instrument in writing duly executed and may be recorded with the Secretary of State upon the payment of a fee of $40 payable to the Treasurer of State. The Secretary of State, upon recording of an assignment, shall issue an attested copy in the name of the assignee.  The assignment is valid for the remainder of the term of the registration or of the last renewal. An assignment of any registration under this chapter is void as against any subsequent purchaser for valuable consideration without notice, unless it is recorded with the Secretary of State within 3 months after the date thereof or prior to the subsequent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§3 (AMD).]</w:t>
      </w:r>
    </w:p>
    <w:p>
      <w:pPr>
        <w:jc w:val="both"/>
        <w:spacing w:before="100" w:after="0"/>
        <w:ind w:start="360"/>
        <w:ind w:firstLine="360"/>
      </w:pPr>
      <w:r>
        <w:rPr>
          <w:b/>
        </w:rPr>
        <w:t>2</w:t>
        <w:t xml:space="preserve">.  </w:t>
      </w:r>
      <w:r>
        <w:rPr>
          <w:b/>
        </w:rPr>
        <w:t xml:space="preserve">Corporate, limited liability company or partnership name.</w:t>
        <w:t xml:space="preserve"> </w:t>
      </w:r>
      <w:r>
        <w:t xml:space="preserve"> </w:t>
      </w:r>
      <w:r>
        <w:t xml:space="preserve">Any registrant of a mark that has been duly recorded pursuant to </w:t>
      </w:r>
      <w:r>
        <w:t>section 1523</w:t>
      </w:r>
      <w:r>
        <w:t xml:space="preserve"> may grant to any domestic or foreign corporation, limited liability company, limited liability partnership or limited partnership authorized to do business in this State the exclusive right to the use of a name similar to that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§3 (AMD). PL 1993, c. 316, §6 (AMD). PL 1993, c. 718, §B3 (AMD). PL 1995, c. 633, §C3 (AMD). PL 1997, c. 376,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§1525.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§1525.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