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Effect on other laws</w:t>
      </w:r>
    </w:p>
    <w:p>
      <w:pPr>
        <w:jc w:val="both"/>
        <w:spacing w:before="100" w:after="100"/>
        <w:ind w:start="360"/>
        <w:ind w:firstLine="360"/>
      </w:pPr>
      <w:r>
        <w:rPr>
          <w:b/>
        </w:rPr>
        <w:t>1</w:t>
        <w:t xml:space="preserve">.  </w:t>
      </w:r>
      <w:r>
        <w:rPr>
          <w:b/>
        </w:rPr>
        <w:t xml:space="preserve">No effect.</w:t>
        <w:t xml:space="preserve"> </w:t>
      </w:r>
      <w:r>
        <w:t xml:space="preserve"> </w:t>
      </w:r>
      <w:r>
        <w:t xml:space="preserve">Except as provided in this section, this Act displaces conflicting tort, restitutionary and other laws of this State providing civil remedies for misappropriation of a trade secret.  This Act does not affect:</w:t>
      </w:r>
    </w:p>
    <w:p>
      <w:pPr>
        <w:jc w:val="both"/>
        <w:spacing w:before="100" w:after="0"/>
        <w:ind w:start="720"/>
      </w:pPr>
      <w:r>
        <w:rPr/>
        <w:t>A</w:t>
        <w:t xml:space="preserve">.  </w:t>
      </w:r>
      <w:r>
        <w:rPr/>
      </w:r>
      <w:r>
        <w:t xml:space="preserve">Contractual remedies, whether or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Other civil remedies that are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C</w:t>
        <w:t xml:space="preserve">.  </w:t>
      </w:r>
      <w:r>
        <w:rPr/>
      </w:r>
      <w:r>
        <w:t xml:space="preserve">Criminal remedies, whether or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D</w:t>
        <w:t xml:space="preserve">.  </w:t>
      </w:r>
      <w:r>
        <w:rPr/>
      </w:r>
      <w:r>
        <w:t xml:space="preserve">The duty of any person to disclose information where expressly required by law; or</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E</w:t>
        <w:t xml:space="preserve">.  </w:t>
      </w:r>
      <w:r>
        <w:rPr/>
      </w:r>
      <w:r>
        <w:t xml:space="preserve">The provisions of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§1548. Effect on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Effect on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§1548. EFFECT ON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