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§2412. Registration of motor fuel dispensers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Registration of motor fuel dispensers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§2412. REGISTRATION OF MOTOR FUEL DISPENSERS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