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Conformity to national packaging and labeling regulations</w:t>
      </w:r>
    </w:p>
    <w:p>
      <w:pPr>
        <w:jc w:val="both"/>
        <w:spacing w:before="100" w:after="100"/>
        <w:ind w:start="360"/>
        <w:ind w:firstLine="360"/>
      </w:pPr>
      <w:r>
        <w:rPr/>
      </w:r>
      <w:r>
        <w:rPr/>
      </w:r>
      <w:r>
        <w:t xml:space="preserve">The packaging and labeling requirements for consumer and nonconsumer packages, as adopted by the National Conference on Weights and Measures and published in the National Bureau of Standards, "Model State Packaging and Labeling Regulation," or in publications of the National Institute of Standards and Technology, successor organization to the National Bureau of Standards, or in any supplements or revisions to those publications, shall apply to any package kept for the purpose of sale or offered or exposed for sale in the State of Maine, except insofar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PL 1989, c. 24,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§2629. Conformity to national packaging and labeling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Conformity to national packaging and labeling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§2629. CONFORMITY TO NATIONAL PACKAGING AND LABELING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