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repairer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RR 2023, c. 2, Pt. C,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