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the owner is adjudicated a bankrupt or a warrant in insolvency issues against the owner's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must be extended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C,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RR 2023, c. 2, Pt. C, §72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§3256. Extension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Extension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§3256. EXTENSION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