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Canned corn, grains and fruit</w:t>
      </w:r>
    </w:p>
    <w:p>
      <w:pPr>
        <w:jc w:val="both"/>
        <w:spacing w:before="100" w:after="100"/>
        <w:ind w:start="360"/>
        <w:ind w:firstLine="360"/>
      </w:pPr>
      <w:r>
        <w:rPr/>
      </w:r>
      <w:r>
        <w:rPr/>
      </w:r>
      <w:r>
        <w:t xml:space="preserve">Whoever furnishes corn or other grain or fruit for canning or preservation otherwise has a lien on such preserved article and all with which it may have been mingled for its value when delivered, including the cans and other vessels containing the same and the cases, for 30 days after the same has been delivered and until it has been shipped on board a vessel or laden in a car, which lien may be enforced by attachment within that time.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§3301. Canned corn, grains and fruit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Canned corn, grains and fruit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§3301. CANNED CORN, GRAINS AND FRUIT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