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3415</w:t>
        <w:t xml:space="preserve">.  </w:t>
      </w:r>
      <w:r>
        <w:rPr>
          <w:b/>
        </w:rPr>
        <w:t xml:space="preserve">Application</w:t>
      </w:r>
    </w:p>
    <w:p>
      <w:pPr>
        <w:jc w:val="both"/>
        <w:spacing w:before="100" w:after="100"/>
        <w:ind w:start="360"/>
        <w:ind w:firstLine="360"/>
      </w:pPr>
      <w:r>
        <w:rPr/>
      </w:r>
      <w:r>
        <w:rPr/>
      </w:r>
      <w:r>
        <w:t xml:space="preserve">This chapter shall apply only to such charges for medical or other services furnished to persons who were injured by reason of such accidents occurring on or after October 7, 1967.</w:t>
      </w:r>
      <w:r>
        <w:t xml:space="preserve">  </w:t>
      </w:r>
      <w:r xmlns:wp="http://schemas.openxmlformats.org/drawingml/2010/wordprocessingDrawing" xmlns:w15="http://schemas.microsoft.com/office/word/2012/wordml">
        <w:rPr>
          <w:rFonts w:ascii="Arial" w:hAnsi="Arial" w:cs="Arial"/>
          <w:sz w:val="22"/>
          <w:szCs w:val="22"/>
        </w:rPr>
        <w:t xml:space="preserve">[PL 1973, c. 625, §57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373 (NEW). PL 1973, c. 625, §57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§3415.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§3415.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§3415.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