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3451</w:t>
        <w:t xml:space="preserve">.  </w:t>
      </w:r>
      <w:r>
        <w:rPr>
          <w:b/>
        </w:rPr>
        <w:t xml:space="preserve">Rent due on leased land</w:t>
      </w:r>
    </w:p>
    <w:p>
      <w:pPr>
        <w:jc w:val="both"/>
        <w:spacing w:before="100" w:after="100"/>
        <w:ind w:start="360"/>
        <w:ind w:firstLine="360"/>
      </w:pPr>
      <w:r>
        <w:rPr/>
      </w:r>
      <w:r>
        <w:rPr/>
      </w:r>
      <w:r>
        <w:t xml:space="preserve">When a lease of land with a rent payable is made for the purpose of erecting a mill or other buildings thereon, such buildings and all the interest of the lessee are subject to a lien and liable to be attached for the rent due. Such attachment, made within 6 months after the rent becomes due, is effectual against any transfer of the property by the lessee.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§3451. Rent due on leased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§3451. Rent due on leased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§3451. RENT DUE ON LEASED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