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Scope</w:t>
      </w:r>
    </w:p>
    <w:p>
      <w:pPr>
        <w:jc w:val="both"/>
        <w:spacing w:before="100" w:after="0"/>
        <w:ind w:start="360"/>
        <w:ind w:firstLine="360"/>
      </w:pPr>
      <w:r>
        <w:rPr>
          <w:b/>
        </w:rPr>
        <w:t>1</w:t>
        <w:t xml:space="preserve">.  </w:t>
      </w:r>
      <w:r>
        <w:rPr>
          <w:b/>
        </w:rPr>
        <w:t xml:space="preserve">General rule.</w:t>
        <w:t xml:space="preserve"> </w:t>
      </w:r>
      <w:r>
        <w:t xml:space="preserve"> </w:t>
      </w:r>
      <w:r>
        <w:t xml:space="preserve">Except as otherwise provided in </w:t>
      </w:r>
      <w:r>
        <w:t>subsection 2</w:t>
      </w:r>
      <w:r>
        <w:t xml:space="preserve">, this chapter applies to electronic records and electronic signatures relating to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 a transaction to the extent it is governed by:</w:t>
      </w:r>
    </w:p>
    <w:p>
      <w:pPr>
        <w:jc w:val="both"/>
        <w:spacing w:before="100" w:after="0"/>
        <w:ind w:start="720"/>
      </w:pPr>
      <w:r>
        <w:rPr/>
        <w:t>A</w:t>
        <w:t xml:space="preserve">.  </w:t>
      </w:r>
      <w:r>
        <w:rPr/>
      </w:r>
      <w:r>
        <w:t xml:space="preserve">A law governing the creation and execution of wills, codicils or testamentary trusts;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The Uniform Commercial Code other than </w:t>
      </w:r>
      <w:r>
        <w:t>Title 11, section 1‑1306</w:t>
      </w:r>
      <w:r>
        <w:t xml:space="preserve"> and </w:t>
      </w:r>
      <w:r>
        <w:t>Articles 2</w:t>
      </w:r>
      <w:r>
        <w:t xml:space="preserve"> and </w:t>
      </w:r>
      <w:r>
        <w:t>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§2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 (AMD); PL 2009, c. 325, Pt. B, §27 (AFF).]</w:t>
      </w:r>
    </w:p>
    <w:p>
      <w:pPr>
        <w:jc w:val="both"/>
        <w:spacing w:before="100" w:after="0"/>
        <w:ind w:start="360"/>
        <w:ind w:firstLine="360"/>
      </w:pPr>
      <w:r>
        <w:rPr>
          <w:b/>
        </w:rPr>
        <w:t>3</w:t>
        <w:t xml:space="preserve">.  </w:t>
      </w:r>
      <w:r>
        <w:rPr>
          <w:b/>
        </w:rPr>
        <w:t xml:space="preserve">Limitation of exception.</w:t>
        <w:t xml:space="preserve"> </w:t>
      </w:r>
      <w:r>
        <w:t xml:space="preserve"> </w:t>
      </w:r>
      <w:r>
        <w:t xml:space="preserve">This chapter applies to an electronic record or electronic signature otherwise excluded from the application of this chapter under </w:t>
      </w:r>
      <w:r>
        <w:t>subsection 2</w:t>
      </w:r>
      <w:r>
        <w:t xml:space="preserve"> to the extent it is governed by a law other than those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Other law.</w:t>
        <w:t xml:space="preserve"> </w:t>
      </w:r>
      <w:r>
        <w:t xml:space="preserve"> </w:t>
      </w:r>
      <w:r>
        <w:t xml:space="preserve">A transaction subject to this chapter is also subject to other applicable substantive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PL 2009, c. 325, Pt. B, §2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§9403.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