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§9409. ATTRIBUTION AND EFFECT OF ELECTRONIC RECORD AND ELECTRONIC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