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2-1405</w:t>
        <w:t xml:space="preserve">.  </w:t>
      </w:r>
      <w:r>
        <w:rPr>
          <w:b/>
        </w:rPr>
        <w:t xml:space="preserve">Excused performance</w:t>
      </w:r>
    </w:p>
    <w:p>
      <w:pPr>
        <w:jc w:val="both"/>
        <w:spacing w:before="100" w:after="100"/>
        <w:ind w:start="360"/>
        <w:ind w:firstLine="360"/>
      </w:pPr>
      <w:r>
        <w:rPr/>
      </w:r>
      <w:r>
        <w:rPr/>
      </w:r>
      <w:r>
        <w:t xml:space="preserve">Subject to </w:t>
      </w:r>
      <w:r>
        <w:t>section 2‑1404</w:t>
      </w:r>
      <w:r>
        <w:t xml:space="preserve"> on substituted performance,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Delay in delivery or nondelivery in whole or in part by a lessor or a supplier who complies with </w:t>
      </w:r>
      <w:r>
        <w:t>subsections (2)</w:t>
      </w:r>
      <w:r>
        <w:t xml:space="preserve"> and </w:t>
      </w:r>
      <w:r>
        <w:t>(3)</w:t>
      </w:r>
      <w:r>
        <w:t xml:space="preserve">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causes mentioned in </w:t>
      </w:r>
      <w:r>
        <w:t>subsection (1)</w:t>
      </w:r>
      <w:r>
        <w:t xml:space="preserve"> affect only part of the lessor's or the supplier's capacity to perform, the lessor or supplier shall allocate production and deliveries among the lessor's or supplier's customers but at the lessor's or supplier's option may include regular customers not then under contract for sale or lease as well as the lessor's or supplier's own requirements for further manufacture.  The lessor or supplier may so allocate in any manner that is fair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seasonably shall notify the lessee and in the case of a finance lease the supplier seasonably shall notify the lessor and the lessee, if known, that there will be delay or nondelivery and, if allocation is required under </w:t>
      </w:r>
      <w:r>
        <w:t>subsection (2)</w:t>
      </w:r>
      <w:r>
        <w:t xml:space="preserve">, of the estimated quota thus made available for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§2-1405. Excused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§2-1405. Excused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§2-1405. EXCUSED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