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§3-1406. Negligence contributing to forged signature or alteration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§3-1406. Negligence contributing to forged signature or alteration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§3-1406. NEGLIGENCE CONTRIBUTING TO FORGED SIGNATURE OR ALTERATION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