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§3-1603. Tender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§3-1603. Tender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§3-1603. TENDER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