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4-1203</w:t>
        <w:t xml:space="preserve">.  </w:t>
      </w:r>
      <w:r>
        <w:rPr>
          <w:b/>
        </w:rPr>
        <w:t xml:space="preserve">Unenforceability of certain verified payment orders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If an accepted payment order is not under </w:t>
      </w:r>
      <w:r>
        <w:t>section 4‑1202, subsection (1)</w:t>
      </w:r>
      <w:r>
        <w:t xml:space="preserve"> an authorized order of a customer identified as sender but is effective as an order of the customer pursuant to </w:t>
      </w:r>
      <w:r>
        <w:t>section 4‑1202, subsection (2)</w:t>
      </w:r>
      <w:r>
        <w:t xml:space="preserve">, the following rules apply.</w:t>
      </w:r>
    </w:p>
    <w:p>
      <w:pPr>
        <w:jc w:val="both"/>
        <w:spacing w:before="100" w:after="0"/>
        <w:ind w:start="720"/>
      </w:pPr>
      <w:r>
        <w:rPr/>
        <w:t>(a)</w:t>
        <w:t xml:space="preserve">.  </w:t>
      </w:r>
      <w:r>
        <w:rPr>
          <w:b/>
        </w:rPr>
        <w:t>(TEXT EFFECTIVE UNTIL 7/01/25)</w:t>
        <w:t xml:space="preserve"> </w:t>
      </w:r>
      <w:r>
        <w:rPr/>
      </w:r>
      <w:r>
        <w:t xml:space="preserve">By express written agreement, the receiving bank may limit the extent to which it is entitled to enforce or retain payment of the payment order.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(a)</w:t>
        <w:t xml:space="preserve">.  </w:t>
      </w:r>
      <w:r>
        <w:rPr>
          <w:b/>
        </w:rPr>
        <w:t>(TEXT EFFECTIVE 7/01/25)</w:t>
        <w:t xml:space="preserve"> </w:t>
      </w:r>
      <w:r>
        <w:rPr/>
      </w:r>
      <w:r>
        <w:t xml:space="preserve">By express agreement, evidenced by a record, the receiving bank may limit the extent to which it is entitled to enforce or retain payment of the payment order.</w:t>
      </w:r>
      <w:r>
        <w:t xml:space="preserve">  </w:t>
      </w:r>
      <w:r xmlns:wp="http://schemas.openxmlformats.org/drawingml/2010/wordprocessingDrawing" xmlns:w15="http://schemas.microsoft.com/office/word/2012/wordml">
        <w:rPr>
          <w:rFonts w:ascii="Arial" w:hAnsi="Arial" w:cs="Arial"/>
          <w:sz w:val="22"/>
          <w:szCs w:val="22"/>
        </w:rPr>
        <w:t xml:space="preserve">[PL 2023, c. 669, Pt. A, §43 (AMD); PL 2023, c. 669, Pt. E, §1 (AFF).]</w:t>
      </w:r>
    </w:p>
    <w:p>
      <w:pPr>
        <w:jc w:val="both"/>
        <w:spacing w:before="100" w:after="0"/>
        <w:ind w:start="720"/>
      </w:pPr>
      <w:r>
        <w:rPr/>
        <w:t>(b)</w:t>
        <w:t xml:space="preserve">.  </w:t>
      </w:r>
      <w:r>
        <w:rPr/>
      </w:r>
      <w:r>
        <w:t xml:space="preserve">The receiving bank is not entitled to enforce or retain payment of the payment order if the customer proves that the order was not caused, directly or indirectly, by a person:</w:t>
      </w:r>
    </w:p>
    <w:p>
      <w:pPr>
        <w:jc w:val="both"/>
        <w:spacing w:before="100" w:after="0"/>
        <w:ind w:start="1080"/>
      </w:pPr>
      <w:r>
        <w:rPr/>
        <w:t>(</w:t>
        <w:t>i</w:t>
        <w:t xml:space="preserve">)  </w:t>
      </w:r>
      <w:r>
        <w:rPr/>
      </w:r>
      <w:r>
        <w:t xml:space="preserve">Entrusted at any time with duties to act for the customer with respect to payment orders or the security procedure or who obtained access to transmitting facilities of the customer; or</w:t>
      </w:r>
    </w:p>
    <w:p>
      <w:pPr>
        <w:jc w:val="both"/>
        <w:spacing w:before="100" w:after="0"/>
        <w:ind w:start="1080"/>
      </w:pPr>
      <w:r>
        <w:rPr/>
        <w:t>(</w:t>
        <w:t>ii</w:t>
        <w:t xml:space="preserve">)  </w:t>
      </w:r>
      <w:r>
        <w:rPr/>
      </w:r>
      <w:r>
        <w:t xml:space="preserve">Who obtained from a source controlled by the customer and without authority of the receiving bank information facilitating breach of the security procedure, regardless of how the information was obtained or whether the customer was at fault.  Information includes any access device, computer software or the like.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§43 (AMD); PL 2023, c. 669, Pt. E, §1 (AFF).]</w:t>
      </w:r>
    </w:p>
    <w:p>
      <w:pPr>
        <w:jc w:val="both"/>
        <w:spacing w:before="100" w:after="0"/>
        <w:ind w:start="360"/>
        <w:ind w:firstLine="360"/>
      </w:pPr>
      <w:r>
        <w:rPr>
          <w:b/>
        </w:rPr>
        <w:t>(2)</w:t>
        <w:t xml:space="preserve">.  </w:t>
      </w:r>
      <w:r>
        <w:rPr>
          <w:b/>
        </w:rPr>
      </w:r>
      <w:r>
        <w:t xml:space="preserve"> </w:t>
      </w:r>
      <w:r>
        <w:t xml:space="preserve">This section applies to amendments of payment orders to the same extent it applies to payment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§43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§4-1203. Unenforceability of certain verified payment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§4-1203. Unenforceability of certain verified payment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§4-1203. UNENFORCEABILITY OF CERTAIN VERIFIED PAYMENT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