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§4-205. Depositary bank holder of unindorsed 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Depositary bank holder of unindorsed 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§4-205. DEPOSITARY BANK HOLDER OF UNINDORSED 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