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When bank may charge customer's account</w:t>
      </w:r>
    </w:p>
    <w:p>
      <w:pPr>
        <w:jc w:val="both"/>
        <w:spacing w:before="100" w:after="0"/>
        <w:ind w:start="360"/>
        <w:ind w:firstLine="360"/>
      </w:pPr>
      <w:r>
        <w:rPr>
          <w:b/>
        </w:rPr>
        <w:t>(1)</w:t>
        <w:t xml:space="preserve">.  </w:t>
      </w:r>
      <w:r>
        <w:rPr>
          <w:b/>
        </w:rPr>
      </w:r>
      <w:r>
        <w:t xml:space="preserve"> </w:t>
      </w:r>
      <w:r>
        <w:t xml:space="preserve">A bank may charge against the account of a customer an item that is properly payable from that account even though the charge creates an overdraft.  An item is properly payable if it is authorized by the customer and is in accordance with any agreement between the customer and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w:pPr>
        <w:jc w:val="both"/>
        <w:spacing w:before="100" w:after="0"/>
        <w:ind w:start="360"/>
        <w:ind w:firstLine="360"/>
      </w:pPr>
      <w:r>
        <w:rPr>
          <w:b/>
        </w:rPr>
        <w:t>(1-A)</w:t>
        <w:t xml:space="preserve">.  </w:t>
      </w:r>
      <w:r>
        <w:rPr>
          <w:b/>
        </w:rPr>
      </w:r>
      <w:r>
        <w:t xml:space="preserve"> </w:t>
      </w:r>
      <w:r>
        <w:t xml:space="preserve">A customer is not liable for the amount of an overdraft if the customer neither signed the item nor benefited from the proceeds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0"/>
        <w:ind w:start="360"/>
        <w:ind w:firstLine="360"/>
      </w:pPr>
      <w:r>
        <w:rPr>
          <w:b/>
        </w:rPr>
        <w:t>(1-B)</w:t>
        <w:t xml:space="preserve">.  </w:t>
      </w:r>
      <w:r>
        <w:rPr>
          <w:b/>
        </w:rPr>
      </w:r>
      <w:r>
        <w:t xml:space="preserve"> </w:t>
      </w:r>
      <w:r>
        <w:t xml:space="preserve">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w:t>
      </w:r>
      <w:r>
        <w:t>section 4‑403, subsection (2)</w:t>
      </w:r>
      <w:r>
        <w:t xml:space="preserve"> for stop-payment orders and must be received at such time and in such manner as to afford the bank a reasonable opportunity to act on it before the bank takes any action with respect to the check described in </w:t>
      </w:r>
      <w:r>
        <w:t>section 4‑303</w:t>
      </w:r>
      <w:r>
        <w:t xml:space="preserve">.  If a bank charges against the account of a customer a check before the date stated in the notice of postdating, the bank is liable for damages for the loss resulting from its act.  The loss may include damages for dishonor of subsequent items under </w:t>
      </w:r>
      <w:r>
        <w:t>section 4‑402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(NEW).]</w:t>
      </w:r>
    </w:p>
    <w:p>
      <w:pPr>
        <w:jc w:val="both"/>
        <w:spacing w:before="100" w:after="100"/>
        <w:ind w:start="360"/>
        <w:ind w:firstLine="360"/>
      </w:pPr>
      <w:r>
        <w:rPr>
          <w:b/>
        </w:rPr>
        <w:t>(2)</w:t>
        <w:t xml:space="preserve">.  </w:t>
      </w:r>
      <w:r>
        <w:rPr>
          <w:b/>
        </w:rPr>
      </w:r>
      <w:r>
        <w:t xml:space="preserve"> </w:t>
      </w:r>
      <w:r>
        <w:t xml:space="preserve">A bank that in good faith makes payment to a holder may charge the indicated account of its customer according to:</w:t>
      </w:r>
    </w:p>
    <w:p>
      <w:pPr>
        <w:jc w:val="both"/>
        <w:spacing w:before="100" w:after="0"/>
        <w:ind w:start="720"/>
      </w:pPr>
      <w:r>
        <w:rPr/>
        <w:t>(a)</w:t>
        <w:t xml:space="preserve">.  </w:t>
      </w:r>
      <w:r>
        <w:rPr/>
      </w:r>
      <w:r>
        <w:t xml:space="preserve">The original terms of the altered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w:pPr>
        <w:jc w:val="both"/>
        <w:spacing w:before="100" w:after="0"/>
        <w:ind w:start="720"/>
      </w:pPr>
      <w:r>
        <w:rPr/>
        <w:t>(b)</w:t>
        <w:t xml:space="preserve">.  </w:t>
      </w:r>
      <w:r>
        <w:rPr/>
      </w:r>
      <w:r>
        <w:t xml:space="preserve">The terms of the completed item, even though the bank knows the item has been completed unless the bank has notice that the completion was improper.</w:t>
      </w:r>
      <w:r>
        <w:t xml:space="preserve">  </w:t>
      </w:r>
      <w:r xmlns:wp="http://schemas.openxmlformats.org/drawingml/2010/wordprocessingDrawing" xmlns:w15="http://schemas.microsoft.com/office/word/2012/wordml">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§4-401. When bank may charge customer's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When bank may charge customer's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§4-401. WHEN BANK MAY CHARGE CUSTOMER'S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