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5-1111</w:t>
        <w:t xml:space="preserve">.  </w:t>
      </w:r>
      <w:r>
        <w:rPr>
          <w:b/>
        </w:rPr>
        <w:t xml:space="preserve">Remedies</w:t>
      </w:r>
    </w:p>
    <w:p>
      <w:pPr>
        <w:jc w:val="both"/>
        <w:spacing w:before="100" w:after="0"/>
        <w:ind w:start="360"/>
        <w:ind w:firstLine="360"/>
      </w:pPr>
      <w:r>
        <w:rPr>
          <w:b/>
        </w:rPr>
        <w:t>(1)</w:t>
        <w:t xml:space="preserve">.  </w:t>
      </w:r>
      <w:r>
        <w:rPr>
          <w:b/>
        </w:rPr>
      </w:r>
      <w:r>
        <w:t xml:space="preserve"> </w:t>
      </w:r>
      <w:r>
        <w:t xml:space="preserve">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an adviser or nominated person other than a confirmer breaches an obligation under this Article or an issuer breaches an obligation not covered in </w:t>
      </w:r>
      <w:r>
        <w:t>subsection (1)</w:t>
      </w:r>
      <w:r>
        <w:t xml:space="preserve"> or </w:t>
      </w:r>
      <w:r>
        <w:t>(2)</w:t>
      </w:r>
      <w:r>
        <w:t xml:space="preserve">,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nominated person or adviser who is found liable under </w:t>
      </w:r>
      <w:r>
        <w:t>subsection (1)</w:t>
      </w:r>
      <w:r>
        <w:t xml:space="preserve">, </w:t>
      </w:r>
      <w:r>
        <w:t>(2)</w:t>
      </w:r>
      <w:r>
        <w:t xml:space="preserve"> or </w:t>
      </w:r>
      <w:r>
        <w:t>(3)</w:t>
      </w:r>
      <w:r>
        <w:t xml:space="preserve"> shall pay interest on the amount owed from the date of wrongful dishonor or other appropriate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Reasonable attorney's fees and other expenses of litigation must be awarded to the prevailing party in an action in which a remedy is sought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Damages that would otherwise be payable by a party for breach of an obligation under this Article may be liquidated by agreement or undertaking, but only in an amount or by a formula that is reasonable in light of the harm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§5-1111.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§5-1111.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§5-1111.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