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9-1202</w:t>
        <w:t xml:space="preserve">.  </w:t>
      </w:r>
      <w:r>
        <w:rPr>
          <w:b/>
        </w:rPr>
        <w:t xml:space="preserve">Title to collateral immaterial</w:t>
      </w:r>
    </w:p>
    <w:p>
      <w:pPr>
        <w:jc w:val="both"/>
        <w:spacing w:before="100" w:after="100"/>
        <w:ind w:start="360"/>
        <w:ind w:firstLine="360"/>
      </w:pPr>
      <w:r>
        <w:rPr/>
      </w:r>
      <w:r>
        <w:rPr/>
      </w:r>
      <w:r>
        <w:t xml:space="preserve">Except as otherwise provided with respect to consignments or sales of accounts, chattel paper, payment intangibles or promissory notes, the provisions of this Article with regard to rights and obligations apply whether title to collateral is in the secured party or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§9-1202. Title to collateral immaterial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§9-1202. Title to collateral immaterial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§9-1202. TITLE TO COLLATERAL IMMATERIAL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