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23. Information from filing office; sale or licens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3. Information from filing office; sale or licens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3. INFORMATION FROM FILING OFFICE; SALE OR LICENS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