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b/>
        </w:rPr>
        <w:t>(TEXT EFFECTIVE UNTIL 7/01/25)</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(a)</w:t>
        <w:t xml:space="preserve">.  </w:t>
      </w:r>
      <w:r>
        <w:rPr>
          <w:b/>
        </w:rPr>
        <w:t>(TEXT EFFECTIVE 7/01/25)</w:t>
        <w:t xml:space="preserve"> </w:t>
      </w:r>
      <w:r>
        <w:rPr/>
      </w:r>
      <w:r>
        <w:t xml:space="preserve">A secured party sends to the debtor and any secondary obligor a signed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2023, c. 669, Pt. A, §146 (AMD); PL 2023, c. 669, Pt. E, §1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§146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Except as otherwise provided in subsection (4), a secured party that disposes of collateral under section 9‑1610 shall send to the persons specified in subsection (3)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signed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§147 (AMD); PL 2023, c. 669, Pt. E, §1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To comply with </w:t>
      </w:r>
      <w:r>
        <w:t>subsection (2)</w:t>
      </w:r>
      <w:r>
        <w:t xml:space="preserve">, the secured party shall send a signed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 signed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section 9‑1311,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§148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§148 (AMD); PL 2023, c. 669, Pt. E, §1 (AFF).]</w:t>
      </w:r>
    </w:p>
    <w:p>
      <w:pPr>
        <w:jc w:val="both"/>
        <w:spacing w:before="100" w:after="0"/>
        <w:ind w:start="360"/>
        <w:ind w:firstLine="360"/>
      </w:pPr>
      <w:r>
        <w:rPr>
          <w:b/>
        </w:rPr>
        <w:t>(4)</w:t>
        <w:t xml:space="preserve">.  </w:t>
      </w:r>
      <w:r>
        <w:rPr>
          <w:b/>
        </w:rPr>
      </w:r>
      <w:r>
        <w:t xml:space="preserve"> </w:t>
      </w:r>
      <w:r>
        <w:t xml:space="preserve">Subsection (2)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subsection (3), paragraph (c),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subsection (3), paragraph (c),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b/>
        </w:rPr>
        <w:t>(TEXT EFFECTIVE UNTIL 7/01/25)</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p>
    <w:p>
      <w:pPr>
        <w:jc w:val="both"/>
        <w:spacing w:before="100" w:after="0"/>
        <w:ind w:start="1080"/>
      </w:pPr>
      <w:r>
        <w:rPr/>
        <w:t>(</w:t>
        <w:t>ii</w:t>
        <w:t xml:space="preserve">)  </w:t>
      </w:r>
      <w:r>
        <w:rPr>
          <w:b/>
        </w:rPr>
        <w:t>(TEXT EFFECTIVE 7/01/25)</w:t>
        <w:t xml:space="preserve"> </w:t>
      </w:r>
      <w:r>
        <w:rPr/>
      </w:r>
      <w:r>
        <w:t xml:space="preserve">Received a response to the request for information and sent a signed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§§146-149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§9-1611. Notification before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§9-1611. Notification before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§9-1611. NOTIFICATION BEFORE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