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702-A</w:t>
      </w:r>
    </w:p>
    <w:p>
      <w:pPr>
        <w:jc w:val="center"/>
        <w:ind w:start="360"/>
        <w:spacing w:before="300" w:after="300"/>
      </w:pPr>
      <w:r>
        <w:rPr>
          <w:b/>
        </w:rPr>
        <w:t xml:space="preserve">DEPARTMENT OF INLAND FISHERIES AND WILDLIFE</w:t>
      </w:r>
    </w:p>
    <w:p>
      <w:pPr>
        <w:jc w:val="center"/>
        <w:ind w:start="360"/>
        <w:spacing w:before="300" w:after="300"/>
      </w:pPr>
      <w:r>
        <w:rPr>
          <w:b/>
        </w:rPr>
        <w:t>(REPEALED)</w:t>
      </w:r>
    </w:p>
    <w:p>
      <w:pPr>
        <w:jc w:val="both"/>
        <w:spacing w:before="100" w:after="100"/>
        <w:ind w:start="1080" w:hanging="720"/>
      </w:pPr>
      <w:r>
        <w:rPr>
          <w:b/>
        </w:rPr>
        <w:t>§</w:t>
        <w:t>7021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702-A.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702-A.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702-A.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