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§11203. Hunter orange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Hunter orange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§11203. HUNTER ORANGE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