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§12459. Fly-fishing by person who has loss of 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§12459. FLY-FISHING BY PERSON WHO HAS LOSS OF 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