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12955</w:t>
        <w:t xml:space="preserve">.  </w:t>
      </w:r>
      <w:r>
        <w:rPr>
          <w:b/>
        </w:rPr>
        <w:t xml:space="preserve">Special 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an activity for which a special hide dealer's license may be issued under </w:t>
      </w:r>
      <w:r>
        <w:t>subsection 2</w:t>
      </w:r>
      <w:r>
        <w:t xml:space="preserve"> without a valid special hide dealer's license unless the person holds a valid license issued under </w:t>
      </w:r>
      <w:r>
        <w:t>section 12954</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special hide dealer's license to any person who maintains a place of business for the butchering of wild animals within this State.  The special hide dealer's license permits a holder to commercially sell or barter the heads or untanned hides of deer, moose or bear that are butchered in the license holder's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§18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a period of one year commencing January 1st and ending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§19 (AMD).]</w:t>
      </w:r>
    </w:p>
    <w:p>
      <w:pPr>
        <w:jc w:val="both"/>
        <w:spacing w:before="100" w:after="0"/>
        <w:ind w:start="360"/>
        <w:ind w:firstLine="360"/>
      </w:pPr>
      <w:r>
        <w:rPr>
          <w:b/>
        </w:rPr>
        <w:t>4</w:t>
        <w:t xml:space="preserve">.  </w:t>
      </w:r>
      <w:r>
        <w:rPr>
          <w:b/>
        </w:rPr>
        <w:t xml:space="preserve">Fee.</w:t>
        <w:t xml:space="preserve"> </w:t>
      </w:r>
      <w:r>
        <w:t xml:space="preserve"> </w:t>
      </w:r>
      <w:r>
        <w:t xml:space="preserve">The annual fee for a special hide dealer's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§37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of all hides bartered or sold; and</w:t>
      </w:r>
    </w:p>
    <w:p>
      <w:pPr>
        <w:jc w:val="both"/>
        <w:spacing w:before="100" w:after="0"/>
        <w:ind w:start="1080"/>
      </w:pPr>
      <w:r>
        <w:rPr/>
        <w:t>(</w:t>
        <w:t>2</w:t>
        <w:t xml:space="preserve">)  </w:t>
      </w:r>
      <w:r>
        <w:rPr/>
      </w:r>
      <w:r>
        <w:t xml:space="preserve">Retain records required under this subsection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§351 (NEW); PL 2003, c. 655, Pt. B, §422 (AFF).]</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§352 (RPR); PL 2003, c. 655, Pt. B, §422 (AFF).]</w:t>
      </w:r>
    </w:p>
    <w:p>
      <w:pPr>
        <w:jc w:val="both"/>
        <w:spacing w:before="100" w:after="100"/>
        <w:ind w:start="360"/>
        <w:ind w:firstLine="360"/>
      </w:pPr>
      <w:r>
        <w:rPr>
          <w:b/>
        </w:rPr>
        <w:t>6</w:t>
        <w:t xml:space="preserve">.  </w:t>
      </w:r>
      <w:r>
        <w:rPr>
          <w:b/>
        </w:rPr>
        <w:t xml:space="preserve">License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§§B351-353 (AMD). PL 2003, c. 655, §B422 (AFF). PL 2005, c. 12, §III37 (AMD). PL 2005, c. 477, §24 (AMD). PL 2021, c. 54,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§12955. Special hide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§12955. Special hide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§12955. SPECIAL HIDE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