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§13156. ATV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§13156. ATV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§13156. ATV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