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 Annual exploration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Annual exploration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 ANNUAL EXPLORATION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