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6176</w:t>
        <w:t xml:space="preserve">.  </w:t>
      </w:r>
      <w:r>
        <w:rPr>
          <w:b/>
        </w:rPr>
        <w:t xml:space="preserve">Commercial fishing safety</w:t>
      </w:r>
    </w:p>
    <w:p>
      <w:pPr>
        <w:jc w:val="both"/>
        <w:spacing w:before="100" w:after="100"/>
        <w:ind w:start="360"/>
        <w:ind w:firstLine="360"/>
      </w:pPr>
      <w:r>
        <w:rPr/>
      </w:r>
      <w:r>
        <w:rPr/>
      </w:r>
      <w:r>
        <w:t xml:space="preserve">The commissioner may adopt commercial fishing safety rules recommended by the Commercial Fishing Safety Council.  Rules authorized by this section must be adopted and amended in accordance with the procedures outlined in </w:t>
      </w:r>
      <w:r>
        <w:t>subchapter 2</w:t>
      </w:r>
      <w:r>
        <w:t xml:space="preserve"> and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505,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505,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§6176. Commercial fishing safety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§6176. Commercial fishing safety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§6176. COMMERCIAL FISHING SAFETY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