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8870</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8869, subsection 14</w:t>
      </w:r>
      <w:r>
        <w:t xml:space="preserve"> or a condition or term of a permit, variance or decision issued by the director or the commissioner in accordance with rules adopted pursuant to </w:t>
      </w:r>
      <w:r>
        <w:t>section 8869, subsection 14</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w:pPr>
        <w:jc w:val="both"/>
        <w:spacing w:before="100" w:after="0"/>
        <w:ind w:start="720"/>
      </w:pPr>
      <w:r>
        <w:rPr/>
        <w:t>B</w:t>
        <w:t xml:space="preserve">.  </w:t>
      </w:r>
      <w:r>
        <w:rPr/>
      </w:r>
      <w:r>
        <w:t xml:space="preserve">A person who violates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PL 2011, c. 657, Pt. W, §7 (REV); PL 2013, c. 405, Pt. A, §23 (REV).]</w:t>
      </w:r>
    </w:p>
    <w:p>
      <w:pPr>
        <w:jc w:val="both"/>
        <w:spacing w:before="100" w:after="0"/>
        <w:ind w:start="360"/>
        <w:ind w:firstLine="360"/>
      </w:pPr>
      <w:r>
        <w:rPr>
          <w:b/>
        </w:rPr>
        <w:t>4</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514, §1 (RP).]</w:t>
      </w:r>
    </w:p>
    <w:p>
      <w:pPr>
        <w:jc w:val="both"/>
        <w:spacing w:before="100" w:after="100"/>
        <w:ind w:start="360"/>
        <w:ind w:firstLine="360"/>
      </w:pPr>
      <w:r>
        <w:rPr>
          <w:b/>
        </w:rPr>
        <w:t>5</w:t>
        <w:t xml:space="preserve">.  </w:t>
      </w:r>
      <w:r>
        <w:rPr>
          <w:b/>
        </w:rPr>
        <w:t xml:space="preserve">Supplemental environmental projects.</w:t>
        <w:t xml:space="preserve"> </w:t>
      </w:r>
      <w:r>
        <w:t xml:space="preserve"> </w:t>
      </w:r>
      <w:r>
        <w:t xml:space="preserve">In settling a civil enforcement action for any violation of this subchapter or any rule adopted under this subchapter, the parties may agree to a supplemental environmental project that mitigates not more than 80% of the assessed penalty.  "Supplemental environmental project" means an environmentally beneficial project primarily benefiting the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2</w:t>
        <w:t xml:space="preserve">)  </w:t>
      </w:r>
      <w:r>
        <w:rPr/>
      </w:r>
      <w:r>
        <w:t xml:space="preserve">Community forestry projects in the same ecosystem or geographic area of the violation that are conducted in accordance with the purposes of </w:t>
      </w:r>
      <w:r>
        <w:t>section 8705</w:t>
      </w:r>
      <w:r>
        <w:t xml:space="preserve">;</w:t>
      </w:r>
    </w:p>
    <w:p>
      <w:pPr>
        <w:jc w:val="both"/>
        <w:spacing w:before="100" w:after="0"/>
        <w:ind w:start="1080"/>
      </w:pPr>
      <w:r>
        <w:rPr/>
        <w:t>(</w:t>
        <w:t>3</w:t>
        <w:t xml:space="preserve">)  </w:t>
      </w:r>
      <w:r>
        <w:rPr/>
      </w:r>
      <w:r>
        <w:t xml:space="preserve">Environmental awareness projects substantially related to the violation that provide training, publications or technical support to members of the public and that are regulated by the Department of Agriculture, Conservation and Forestry; or</w:t>
      </w:r>
    </w:p>
    <w:p>
      <w:pPr>
        <w:jc w:val="both"/>
        <w:spacing w:before="100" w:after="0"/>
        <w:ind w:start="1080"/>
      </w:pPr>
      <w:r>
        <w:rPr/>
        <w:t>(</w:t>
        <w:t>4</w:t>
        <w:t xml:space="preserve">)  </w:t>
      </w:r>
      <w:r>
        <w:rPr/>
      </w:r>
      <w:r>
        <w:t xml:space="preserve">Scientific research and data collection projects that advance the scientific basis on which regulatory decisions are made.</w:t>
      </w:r>
      <w:r>
        <w:t xml:space="preserve">  </w:t>
      </w:r>
      <w:r xmlns:wp="http://schemas.openxmlformats.org/drawingml/2010/wordprocessingDrawing" xmlns:w15="http://schemas.microsoft.com/office/word/2012/wordml">
        <w:rPr>
          <w:rFonts w:ascii="Arial" w:hAnsi="Arial" w:cs="Arial"/>
          <w:sz w:val="22"/>
          <w:szCs w:val="22"/>
        </w:rPr>
        <w:t xml:space="preserve">[PL 2005, c. 514, §2 (NEW); PL 2011, c. 657, Pt. W, §5 (REV).]</w:t>
      </w:r>
    </w:p>
    <w:p>
      <w:pPr>
        <w:jc w:val="both"/>
        <w:spacing w:before="100" w:after="0"/>
        <w:ind w:start="720"/>
      </w:pPr>
      <w:r>
        <w:rPr/>
        <w:t>B</w:t>
        <w:t xml:space="preserve">.  </w:t>
      </w:r>
      <w:r>
        <w:rPr/>
      </w:r>
      <w:r>
        <w:t xml:space="preserve">A supplemental environmental project may not be used in the following situations:</w:t>
      </w:r>
    </w:p>
    <w:p>
      <w:pPr>
        <w:jc w:val="both"/>
        <w:spacing w:before="100" w:after="0"/>
        <w:ind w:start="1080"/>
      </w:pPr>
      <w:r>
        <w:rPr/>
        <w:t>(</w:t>
        <w:t>1</w:t>
        <w:t xml:space="preserve">)  </w:t>
      </w:r>
      <w:r>
        <w:rPr/>
      </w:r>
      <w:r>
        <w:t xml:space="preserve">Repeat violations of the same or a substantially similar law administered by the Department of Agriculture, Conservation and Forestry by the same person;</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r>
        <w:t xml:space="preserve">  </w:t>
      </w:r>
      <w:r xmlns:wp="http://schemas.openxmlformats.org/drawingml/2010/wordprocessingDrawing" xmlns:w15="http://schemas.microsoft.com/office/word/2012/wordml">
        <w:rPr>
          <w:rFonts w:ascii="Arial" w:hAnsi="Arial" w:cs="Arial"/>
          <w:sz w:val="22"/>
          <w:szCs w:val="22"/>
        </w:rPr>
        <w:t xml:space="preserve">[PL 2005, c. 2, §11 (COR); PL 2011, c. 657, Pt. W, §5 (REV).]</w:t>
      </w:r>
    </w:p>
    <w:p>
      <w:pPr>
        <w:jc w:val="both"/>
        <w:spacing w:before="100" w:after="0"/>
        <w:ind w:start="360"/>
      </w:pPr>
      <w:r>
        <w:rPr/>
      </w:r>
      <w:r>
        <w:rPr/>
      </w:r>
      <w:r>
        <w:t xml:space="preserve">Any settlement that includes a supplemental environmental project must provide that expenditures are not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§11 (COR); PL 2011, c. 657, Pt. W, §5 (REV).]</w:t>
      </w:r>
    </w:p>
    <w:p>
      <w:pPr>
        <w:jc w:val="both"/>
        <w:spacing w:before="100" w:after="0"/>
        <w:ind w:start="360"/>
        <w:ind w:firstLine="360"/>
      </w:pPr>
      <w:r>
        <w:rPr>
          <w:b/>
        </w:rPr>
        <w:t>6</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RR 2005, c. 2, §11 (COR). PL 2005, c. 514, §§1,2 (AMD). PL 2009, c. 536, §1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