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Penalty</w:t>
      </w:r>
    </w:p>
    <w:p>
      <w:pPr>
        <w:jc w:val="both"/>
        <w:spacing w:before="100" w:after="100"/>
        <w:ind w:start="360"/>
        <w:ind w:firstLine="360"/>
      </w:pPr>
      <w:r>
        <w:rPr/>
      </w:r>
      <w:r>
        <w:rPr/>
      </w:r>
      <w:r>
        <w:t xml:space="preserve">Unless otherwise specifically stated, any person who violates any requirement of this Part, the condition or terms of any permit or license issued by the director or the provision of any rule or regulation of the bureau commits a civil violation for which a forfeiture not to exceed $1,000 may be adjudged. Each day of a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100"/>
        <w:ind w:start="360"/>
        <w:ind w:firstLine="360"/>
      </w:pPr>
      <w:r>
        <w:rPr/>
      </w:r>
      <w:r>
        <w:rPr/>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r>
        <w:t xml:space="preserve">  </w:t>
      </w:r>
      <w:r xmlns:wp="http://schemas.openxmlformats.org/drawingml/2010/wordprocessingDrawing" xmlns:w15="http://schemas.microsoft.com/office/word/2012/wordml">
        <w:rPr>
          <w:rFonts w:ascii="Arial" w:hAnsi="Arial" w:cs="Arial"/>
          <w:sz w:val="22"/>
          <w:szCs w:val="22"/>
        </w:rPr>
        <w:t xml:space="preserve">[PL 2009,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536, §2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