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SALE AND OTHER DISPOSITIONS OF CORPORATE ASSETS</w:t>
      </w:r>
    </w:p>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DISPOSITIONS OF CORPORATE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DISPOSITIONS OF CORPORATE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10. SALE AND OTHER DISPOSITIONS OF CORPORATE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