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Merger of foreign corporation authorized to carry on activities in State</w:t>
      </w:r>
    </w:p>
    <w:p>
      <w:pPr>
        <w:jc w:val="both"/>
        <w:spacing w:before="100" w:after="100"/>
        <w:ind w:start="360"/>
        <w:ind w:firstLine="360"/>
      </w:pPr>
      <w:r>
        <w:rPr/>
      </w:r>
      <w:r>
        <w:rPr/>
      </w:r>
      <w:r>
        <w:t xml:space="preserve">Whenever a foreign corporation authorized to carry on activities in this State shall be the surviving corporation in a statutory merger permitted by the laws of its jurisdiction of incorporation, it shall, within 30 days after the effective date of the merger, deliver to the Secretary of State for filing, as provided by </w:t>
      </w:r>
      <w:r>
        <w:t>section 106</w:t>
      </w:r>
      <w:r>
        <w:t xml:space="preserve">, a copy of the articles of merger duly authenticated by the proper officer of the jurisdiction of its incorporation. It shall not be necessary for such corporation to secure either new or additional authority to carry on activities in this State unless the name of such corporation is changed, or unless the corporation proposes to carry on other or additional activities than those which it is then authorized to carry on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§1206. MERGER OF FOREIGN CORPORATION AUTHORIZED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