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Incorporators</w:t>
      </w:r>
    </w:p>
    <w:p>
      <w:pPr>
        <w:jc w:val="both"/>
        <w:spacing w:before="100" w:after="0"/>
        <w:ind w:start="360"/>
        <w:ind w:firstLine="360"/>
      </w:pPr>
      <w:r>
        <w:rPr>
          <w:b/>
        </w:rPr>
        <w:t>1</w:t>
        <w:t xml:space="preserve">.  </w:t>
      </w:r>
      <w:r>
        <w:rPr>
          <w:b/>
        </w:rPr>
        <w:t xml:space="preserve">Incorporate.</w:t>
        <w:t xml:space="preserve"> </w:t>
      </w:r>
      <w:r>
        <w:t xml:space="preserve"> </w:t>
      </w:r>
      <w:r>
        <w:t xml:space="preserve">One or more persons acting as incorporators shall execute and file, in accordance with sections 403 and </w:t>
      </w:r>
      <w:r>
        <w:t>404</w:t>
      </w:r>
      <w:r>
        <w:t xml:space="preserve">, articles of incorporations for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U, §13 (AMD).]</w:t>
      </w:r>
    </w:p>
    <w:p>
      <w:pPr>
        <w:jc w:val="both"/>
        <w:spacing w:before="100" w:after="0"/>
        <w:ind w:start="360"/>
        <w:ind w:firstLine="360"/>
      </w:pPr>
      <w:r>
        <w:rPr>
          <w:b/>
        </w:rPr>
        <w:t>2</w:t>
        <w:t xml:space="preserve">.  </w:t>
      </w:r>
      <w:r>
        <w:rPr>
          <w:b/>
        </w:rPr>
        <w:t xml:space="preserve">Need not be residents.</w:t>
        <w:t xml:space="preserve"> </w:t>
      </w:r>
      <w:r>
        <w:t xml:space="preserve"> </w:t>
      </w:r>
      <w:r>
        <w:t xml:space="preserve">Incorporators need not be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Incorporators.</w:t>
        <w:t xml:space="preserve"> </w:t>
      </w:r>
      <w:r>
        <w:t xml:space="preserve"> </w:t>
      </w:r>
      <w:r>
        <w:t xml:space="preserve">The incorporator or incorporators may be natural persons or domestic or foreign corporations, whether or not authorized to do business or carry on activities in this State, or any combination of natural persons or domestic or foreign corporations.  If a corporation acts as an incorporator, the articles of incorporation must be accompanied by a certificate of an appropriate officer of that corporation, not the person signing the articles, certifying that the person executing the articles on its behalf is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1991, c. 780, §§U13,14 (AMD). PL 1997, c. 376,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 Incorporators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Incorporators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§401. INCORPORATORS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