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Bylaws</w:t>
      </w:r>
    </w:p>
    <w:p>
      <w:pPr>
        <w:jc w:val="both"/>
        <w:spacing w:before="100" w:after="100"/>
        <w:ind w:start="360"/>
        <w:ind w:firstLine="360"/>
      </w:pPr>
      <w:r>
        <w:rPr/>
      </w:r>
      <w:r>
        <w:rPr/>
      </w:r>
      <w:r>
        <w:t xml:space="preserve">The initial bylaws of a corporation shall be adopted by its incorporators or its board of directors. The power to alter, amend or repeal the bylaws or adopt new bylaws shall be vested in the board of directors unless otherwise provided in the articles of incorporation or the bylaws. The bylaws may contain any provisions for the regulation and management of the activities of a corporation not inconsistent with law or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1979, c. 127,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§601.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