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Requirements for documents; extrinsic facts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Requirements for documents; extrinsic facts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§121. REQUIREMENTS FOR DOCUMENTS; EXTRINSIC FACTS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