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to furnish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§15 (AMD).]</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if a foreign corporation, the foreign corporation is authorized to transact business in this State, the date on which the corporation was authorized to transact business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the corporation's most recent annual report required by </w:t>
      </w:r>
      <w:r>
        <w:t>section 1621</w:t>
      </w:r>
      <w:r>
        <w:t xml:space="preserve"> has been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That, if the corporation is a domestic corporation, articles of dissolution relating to that corporation have not been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G</w:t>
        <w:t xml:space="preserve">.  </w:t>
      </w:r>
      <w:r>
        <w:rPr/>
      </w:r>
      <w:r>
        <w:t xml:space="preserve">Other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§15 (AMD).]</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a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§§B38-39 (AMD). PL 2003, c. 631,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