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Shares without certificates</w:t>
      </w:r>
    </w:p>
    <w:p>
      <w:pPr>
        <w:jc w:val="both"/>
        <w:spacing w:before="100" w:after="0"/>
        <w:ind w:start="360"/>
        <w:ind w:firstLine="360"/>
      </w:pPr>
      <w:r>
        <w:rPr>
          <w:b/>
        </w:rPr>
        <w:t>1</w:t>
        <w:t xml:space="preserve">.  </w:t>
      </w:r>
      <w:r>
        <w:rPr>
          <w:b/>
        </w:rPr>
        <w:t xml:space="preserve">Authorization.</w:t>
        <w:t xml:space="preserve"> </w:t>
      </w:r>
      <w:r>
        <w:t xml:space="preserve"> </w:t>
      </w:r>
      <w:r>
        <w:t xml:space="preserve">Unless the articles of incorporation or bylaws provide otherwise, the board of directors of a corporation may authorize the issue of some or all of the shares of any or all of its classes or series of shares without certificates.  The authorization does not affect shares already represented by certificates until they are surrendered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Written statement.</w:t>
        <w:t xml:space="preserve"> </w:t>
      </w:r>
      <w:r>
        <w:t xml:space="preserve"> </w:t>
      </w:r>
      <w:r>
        <w:t xml:space="preserve">Within a reasonable time after the issue or transfer of shares without certificates, the corporation shall send the shareholder a written statement of the information required on certificates by </w:t>
      </w:r>
      <w:r>
        <w:t>section 626, subsections 2</w:t>
      </w:r>
      <w:r>
        <w:t xml:space="preserve"> and </w:t>
      </w:r>
      <w:r>
        <w:t>3</w:t>
      </w:r>
      <w:r>
        <w:t xml:space="preserve"> and, if applicable, </w:t>
      </w:r>
      <w:r>
        <w:t>section 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§627. Shares without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Shares without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§627. SHARES WITHOUT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