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758</w:t>
        <w:t xml:space="preserve">.  </w:t>
      </w:r>
      <w:r>
        <w:rPr>
          <w:b/>
        </w:rPr>
        <w:t xml:space="preserve">Applicability to foreign corporations</w:t>
      </w:r>
    </w:p>
    <w:p>
      <w:pPr>
        <w:jc w:val="both"/>
        <w:spacing w:before="100" w:after="100"/>
        <w:ind w:start="360"/>
        <w:ind w:firstLine="360"/>
      </w:pPr>
      <w:r>
        <w:rPr/>
      </w:r>
      <w:r>
        <w:rPr/>
      </w:r>
      <w:r>
        <w:t xml:space="preserve">In any derivative proceeding in the right of a foreign corporation, the matters covered by this subchapter, except for </w:t>
      </w:r>
      <w:r>
        <w:t>sections 754</w:t>
      </w:r>
      <w:r>
        <w:t xml:space="preserve">, </w:t>
      </w:r>
      <w:r>
        <w:t>756</w:t>
      </w:r>
      <w:r>
        <w:t xml:space="preserve"> and </w:t>
      </w:r>
      <w:r>
        <w:t>757</w:t>
      </w:r>
      <w:r>
        <w:t xml:space="preserve">, are governed by the laws of the jurisdiction of incorporation of the foreign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§758. Applicability to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§758. Applicability to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§758. APPLICABILITY TO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