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Type of construction; examinations</w:t>
      </w:r>
    </w:p>
    <w:p>
      <w:pPr>
        <w:jc w:val="both"/>
        <w:spacing w:before="100" w:after="100"/>
        <w:ind w:start="360"/>
        <w:ind w:firstLine="360"/>
      </w:pPr>
      <w:r>
        <w:rPr/>
      </w:r>
      <w:r>
        <w:rPr/>
      </w:r>
      <w:r>
        <w:t xml:space="preserve">Any such community mausoleum or other burial structure shall be constructed of such materials and workmanship as will insure its durability and permanency as well as the safety, convenience, comfort and health of the community in which it is located, as dictated and determined at the time by modern mausoleum construction and engineering science, and all crypts or catacombs placed in a mausoleum, vault or other burial structure as described in </w:t>
      </w:r>
      <w:r>
        <w:t>section 1342</w:t>
      </w:r>
      <w:r>
        <w:t xml:space="preserve"> shall be so constructed that all parts thereof may be readily examined by the Bureau of Health or any other health officer. Such crypts or catacombs, when used for the permanent interment of a deceased body or bodies, shall be so hermetically sealed that no offensive odor or effluvia may escape therefrom.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§1343. Type of construction;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Type of construction;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§1343. TYPE OF CONSTRUCTION;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