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1748</w:t>
        <w:t xml:space="preserve">.  </w:t>
      </w:r>
      <w:r>
        <w:rPr>
          <w:b/>
        </w:rPr>
        <w:t xml:space="preserve">Organizational meeting</w:t>
      </w:r>
    </w:p>
    <w:p>
      <w:pPr>
        <w:jc w:val="both"/>
        <w:spacing w:before="100" w:after="100"/>
        <w:ind w:start="360"/>
        <w:ind w:firstLine="360"/>
      </w:pPr>
      <w:r>
        <w:rPr/>
      </w:r>
      <w:r>
        <w:rPr/>
      </w:r>
      <w:r>
        <w:t xml:space="preserve">Within 6 months after the first conveyance of a share to a member, an organizational meeting of the cooperative affordable housing corporation must be held for the purpose of adopting bylaws, electing officers and transacting such other business as may come before the meeting.</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§1748.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§1748.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§1748.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