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§3061. Sale of property wasting for lack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Sale of property wasting for lack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§3061. SALE OF PROPERTY WASTING FOR LACK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