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Corporate rights and powers</w:t>
      </w:r>
    </w:p>
    <w:p>
      <w:pPr>
        <w:jc w:val="both"/>
        <w:spacing w:before="100" w:after="100"/>
        <w:ind w:start="360"/>
        <w:ind w:firstLine="360"/>
      </w:pPr>
      <w:r>
        <w:rPr/>
      </w:r>
      <w:r>
        <w:rPr/>
      </w:r>
      <w:r>
        <w:t xml:space="preserve">Any meetinghouse corporation, by a major vote of its members, may use and control the meetinghouse or building for public worship partly or wholly owned by them, as they please. Nothing in this section and sections 3107 and 3108 shall affect the rights of owners of houses of worship, built by different religious denominations.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§3109. Corporate rights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Corporate rights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§3109. CORPORATE RIGHTS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