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Voting of shares</w:t>
      </w:r>
    </w:p>
    <w:p>
      <w:pPr>
        <w:jc w:val="both"/>
        <w:spacing w:before="100" w:after="0"/>
        <w:ind w:start="360"/>
        <w:ind w:firstLine="360"/>
      </w:pPr>
      <w:r>
        <w:rPr>
          <w:b/>
        </w:rPr>
        <w:t>1</w:t>
        <w:t xml:space="preserve">.  </w:t>
      </w:r>
      <w:r>
        <w:rPr>
          <w:b/>
        </w:rPr>
        <w:t xml:space="preserve">Right to vote.</w:t>
        <w:t xml:space="preserve"> </w:t>
      </w:r>
      <w:r>
        <w:t xml:space="preserve"> </w:t>
      </w:r>
      <w:r>
        <w:t xml:space="preserve">Except as otherwise provided in this section, only a qualified person may vote the shares of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Proxies.</w:t>
        <w:t xml:space="preserve"> </w:t>
      </w:r>
      <w:r>
        <w:t xml:space="preserve"> </w:t>
      </w:r>
      <w:r>
        <w:t xml:space="preserve">Only a qualified person may be appointed a proxy to vote shares of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Voting trusts.</w:t>
        <w:t xml:space="preserve"> </w:t>
      </w:r>
      <w:r>
        <w:t xml:space="preserve"> </w:t>
      </w:r>
      <w:r>
        <w:t xml:space="preserve">A voting trust with respect to shares of a professional corporation is not valid unless all of its trustees and beneficiaries are qualified persons; except that, if a beneficiary who is a qualified person dies or becomes a disqualified person, a voting trust valid under this subsection continues to be valid for 10 months after the date of death or for 5 months after the disqualification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Limited voting right.</w:t>
        <w:t xml:space="preserve"> </w:t>
      </w:r>
      <w:r>
        <w:t xml:space="preserve"> </w:t>
      </w:r>
      <w:r>
        <w:t xml:space="preserve">Any shares transferred to a disqualified person by reason of the death of a qualified person or by operation of law may be voted by such disqualified person only for the purposes of amending the articles of incorporation to convert to a regular business corporation or dissolving the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 Voting of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Voting of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§752. VOTING OF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