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Expenses part of execution</w:t>
      </w:r>
    </w:p>
    <w:p>
      <w:pPr>
        <w:jc w:val="both"/>
        <w:spacing w:before="100" w:after="100"/>
        <w:ind w:start="360"/>
        <w:ind w:firstLine="360"/>
      </w:pPr>
      <w:r>
        <w:rPr/>
      </w:r>
      <w:r>
        <w:rPr/>
      </w:r>
      <w:r>
        <w:t xml:space="preserve">The expenses of levy in any of the modes provided by this chapter in a levy, sale or redemption are part of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Expenses part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Expenses part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§1951. EXPENSES PART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