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Judgment in prior action rendered; motion for relief</w:t>
      </w:r>
    </w:p>
    <w:p>
      <w:pPr>
        <w:jc w:val="both"/>
        <w:spacing w:before="100" w:after="100"/>
        <w:ind w:start="360"/>
        <w:ind w:firstLine="360"/>
      </w:pPr>
      <w:r>
        <w:rPr/>
      </w:r>
      <w:r>
        <w:rPr/>
      </w:r>
      <w:r>
        <w:t xml:space="preserve">When judgment in such prior action has been rendered, the plaintiff in such subsequent action may move for leave to seek relief from the judgment, first giving bond to each party as provided in </w:t>
      </w:r>
      <w:r>
        <w:t>section 202</w:t>
      </w:r>
      <w:r>
        <w:t xml:space="preserve"> and such leave may or may not be granted.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 Judgment in prior action rendered; motion for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Judgment in prior action rendered; motion for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§205. JUDGMENT IN PRIOR ACTION RENDERED; MOTION FOR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