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Trustee may submit statement of facts</w:t>
      </w:r>
    </w:p>
    <w:p>
      <w:pPr>
        <w:jc w:val="both"/>
        <w:spacing w:before="100" w:after="100"/>
        <w:ind w:start="360"/>
        <w:ind w:firstLine="360"/>
      </w:pPr>
      <w:r>
        <w:rPr/>
      </w:r>
      <w:r>
        <w:rPr/>
      </w:r>
      <w:r>
        <w:t xml:space="preserve">If a person summoned admits that he has in his hands goods, effects or credits of the principal or wishes to refer that question to the court upon the facts, he may make a declaration of such facts as he deems material and submit himself thereupon to a further examination on oath. Such declaration and further examination, if any, shall be sworn to as before provided for in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§2709. Trustee may submit statement of facts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Trustee may submit statement of facts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§2709. TRUSTEE MAY SUBMIT STATEMENT OF FACTS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