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2957</w:t>
        <w:t xml:space="preserve">.  </w:t>
      </w:r>
      <w:r>
        <w:rPr>
          <w:b/>
        </w:rPr>
        <w:t xml:space="preserve">Principal may recover where no 2nd attachment</w:t>
      </w:r>
    </w:p>
    <w:p>
      <w:pPr>
        <w:jc w:val="both"/>
        <w:spacing w:before="100" w:after="100"/>
        <w:ind w:start="360"/>
        <w:ind w:firstLine="360"/>
      </w:pPr>
      <w:r>
        <w:rPr/>
      </w:r>
      <w:r>
        <w:rPr/>
      </w:r>
      <w:r>
        <w:t xml:space="preserve">If there is no 2nd attachment, the principal defendant may recover the goods, effects and credits, if not so demanded, as if they had not been attached.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§2957. Principal may recover where no 2nd attachment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§2957. Principal may recover where no 2nd attachment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§2957. PRINCIPAL MAY RECOVER WHERE NO 2ND ATTACHMENT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