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w:t>
        <w:t xml:space="preserve">.  </w:t>
      </w:r>
      <w:r>
        <w:rPr>
          <w:b/>
        </w:rPr>
        <w:t xml:space="preserve">Action for alienation of affections prohibited</w:t>
      </w:r>
    </w:p>
    <w:p>
      <w:pPr>
        <w:jc w:val="both"/>
        <w:spacing w:before="100" w:after="100"/>
        <w:ind w:start="360"/>
        <w:ind w:firstLine="360"/>
      </w:pPr>
      <w:r>
        <w:rPr/>
      </w:r>
      <w:r>
        <w:rPr/>
      </w:r>
      <w:r>
        <w:t xml:space="preserve">A person is not liable to any other person in a civil action for the cause of alienation of affections.</w:t>
      </w:r>
      <w:r>
        <w:t xml:space="preserve">  </w:t>
      </w:r>
      <w:r xmlns:wp="http://schemas.openxmlformats.org/drawingml/2010/wordprocessingDrawing" xmlns:w15="http://schemas.microsoft.com/office/word/2012/wordml">
        <w:rPr>
          <w:rFonts w:ascii="Arial" w:hAnsi="Arial" w:cs="Arial"/>
          <w:sz w:val="22"/>
          <w:szCs w:val="22"/>
        </w:rPr>
        <w:t xml:space="preserve">[PL 1995, c. 694, Pt. C, §1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§C1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§301. Action for alienation of affections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 Action for alienation of affections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§301. ACTION FOR ALIENATION OF AFFECTIONS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